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6C5648" w:rsidRDefault="009A3EA3" w:rsidP="00BF2165">
      <w:pPr>
        <w:jc w:val="center"/>
        <w:rPr>
          <w:rFonts w:ascii="Arial" w:hAnsi="Arial" w:cs="Arial"/>
          <w:b/>
          <w:sz w:val="20"/>
          <w:szCs w:val="20"/>
        </w:rPr>
      </w:pPr>
      <w:r>
        <w:rPr>
          <w:rFonts w:ascii="Arial" w:hAnsi="Arial" w:cs="Arial"/>
          <w:b/>
          <w:sz w:val="20"/>
          <w:szCs w:val="20"/>
        </w:rPr>
        <w:t>Certified</w:t>
      </w:r>
      <w:r w:rsidR="0014376A">
        <w:rPr>
          <w:rFonts w:ascii="Arial" w:hAnsi="Arial" w:cs="Arial"/>
          <w:b/>
          <w:sz w:val="20"/>
          <w:szCs w:val="20"/>
        </w:rPr>
        <w:t xml:space="preserve"> Accounting and Audit Professional</w:t>
      </w:r>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proofErr w:type="spellStart"/>
            <w:r w:rsidRPr="006C5648">
              <w:rPr>
                <w:rFonts w:ascii="Arial" w:hAnsi="Arial" w:cs="Arial"/>
                <w:b/>
                <w:sz w:val="20"/>
                <w:szCs w:val="20"/>
              </w:rPr>
              <w:t>S.No</w:t>
            </w:r>
            <w:proofErr w:type="spellEnd"/>
            <w:r w:rsidRPr="006C5648">
              <w:rPr>
                <w:rFonts w:ascii="Arial" w:hAnsi="Arial" w:cs="Arial"/>
                <w:b/>
                <w:sz w:val="20"/>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Review of Regulatory Framework for Asset Reconstruction Companies (ARCs)</w:t>
            </w:r>
          </w:p>
        </w:tc>
      </w:tr>
      <w:tr w:rsidR="001F14D6" w:rsidRPr="006C5648" w:rsidTr="00BF2165">
        <w:tc>
          <w:tcPr>
            <w:tcW w:w="846" w:type="dxa"/>
            <w:tcBorders>
              <w:top w:val="single" w:sz="4" w:space="0" w:color="auto"/>
              <w:left w:val="single" w:sz="4" w:space="0" w:color="auto"/>
              <w:bottom w:val="single" w:sz="4" w:space="0" w:color="auto"/>
              <w:right w:val="single" w:sz="4" w:space="0" w:color="auto"/>
            </w:tcBorders>
          </w:tcPr>
          <w:p w:rsidR="001F14D6" w:rsidRPr="006C5648" w:rsidRDefault="001F14D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1F14D6" w:rsidRDefault="001F14D6">
            <w:pPr>
              <w:spacing w:line="240" w:lineRule="auto"/>
              <w:jc w:val="both"/>
              <w:rPr>
                <w:rFonts w:ascii="Calibri" w:hAnsi="Calibri" w:cs="Calibri"/>
                <w:color w:val="000000"/>
                <w:sz w:val="20"/>
                <w:szCs w:val="20"/>
              </w:rPr>
            </w:pPr>
            <w:r w:rsidRPr="001F14D6">
              <w:rPr>
                <w:rFonts w:ascii="Calibri" w:hAnsi="Calibri" w:cs="Calibri"/>
                <w:color w:val="000000"/>
                <w:sz w:val="20"/>
                <w:szCs w:val="20"/>
              </w:rPr>
              <w:t>Inclusion of Goods and Service Tax Network (GSTN) as a Financial Information Provider under Account Aggregator Framew</w:t>
            </w:r>
            <w:bookmarkStart w:id="0" w:name="_GoBack"/>
            <w:bookmarkEnd w:id="0"/>
            <w:r w:rsidRPr="001F14D6">
              <w:rPr>
                <w:rFonts w:ascii="Calibri" w:hAnsi="Calibri" w:cs="Calibri"/>
                <w:color w:val="000000"/>
                <w:sz w:val="20"/>
                <w:szCs w:val="20"/>
              </w:rPr>
              <w:t>ork</w:t>
            </w:r>
          </w:p>
        </w:tc>
      </w:tr>
      <w:tr w:rsidR="00C10ACA" w:rsidRPr="006C5648" w:rsidTr="00BF2165">
        <w:tc>
          <w:tcPr>
            <w:tcW w:w="846" w:type="dxa"/>
            <w:tcBorders>
              <w:top w:val="single" w:sz="4" w:space="0" w:color="auto"/>
              <w:left w:val="single" w:sz="4" w:space="0" w:color="auto"/>
              <w:bottom w:val="single" w:sz="4" w:space="0" w:color="auto"/>
              <w:right w:val="single" w:sz="4" w:space="0" w:color="auto"/>
            </w:tcBorders>
          </w:tcPr>
          <w:p w:rsidR="00C10ACA" w:rsidRPr="006C5648" w:rsidRDefault="00C10ACA"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C10ACA" w:rsidRDefault="00C10ACA">
            <w:pPr>
              <w:spacing w:line="240" w:lineRule="auto"/>
              <w:jc w:val="both"/>
              <w:rPr>
                <w:rFonts w:ascii="Calibri" w:hAnsi="Calibri" w:cs="Calibri"/>
                <w:color w:val="000000"/>
                <w:sz w:val="20"/>
                <w:szCs w:val="20"/>
              </w:rPr>
            </w:pPr>
            <w:r>
              <w:rPr>
                <w:rFonts w:ascii="Calibri" w:hAnsi="Calibri" w:cs="Calibri"/>
                <w:color w:val="000000"/>
                <w:sz w:val="20"/>
                <w:szCs w:val="20"/>
              </w:rPr>
              <w:t>Reserve Bank of India (Financial Statements - Presentation and Disclosures) Directions, 2021 - Disclosure of material items</w:t>
            </w:r>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14376A" w:rsidRDefault="0014376A" w:rsidP="002D338D">
      <w:pPr>
        <w:spacing w:line="259" w:lineRule="auto"/>
        <w:rPr>
          <w:rFonts w:ascii="Arial" w:hAnsi="Arial" w:cs="Arial"/>
          <w:sz w:val="20"/>
          <w:szCs w:val="20"/>
        </w:rPr>
      </w:pPr>
    </w:p>
    <w:p w:rsidR="002D338D" w:rsidRDefault="002D338D" w:rsidP="002D338D">
      <w:pPr>
        <w:spacing w:line="259" w:lineRule="auto"/>
        <w:rPr>
          <w:rFonts w:ascii="Arial" w:hAnsi="Arial" w:cs="Arial"/>
          <w:b/>
          <w:bCs/>
          <w:color w:val="000000"/>
          <w:sz w:val="20"/>
          <w:szCs w:val="20"/>
        </w:rPr>
      </w:pPr>
      <w:r>
        <w:rPr>
          <w:rFonts w:ascii="Arial" w:hAnsi="Arial" w:cs="Arial"/>
          <w:b/>
          <w:bCs/>
          <w:color w:val="000000"/>
          <w:sz w:val="20"/>
          <w:szCs w:val="20"/>
        </w:rPr>
        <w:t>Review of Regulatory Framework for Asset Reconstruction Companies (ARCs)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RBI/2022-23/128</w:t>
      </w:r>
      <w:r>
        <w:rPr>
          <w:rFonts w:ascii="Arial" w:hAnsi="Arial" w:cs="Arial"/>
          <w:color w:val="000000"/>
          <w:sz w:val="20"/>
          <w:szCs w:val="20"/>
        </w:rPr>
        <w:br/>
        <w:t>DoR.SIG.FIN.REC.75/26.03.001/2022-23</w:t>
      </w:r>
    </w:p>
    <w:p w:rsidR="002D338D" w:rsidRDefault="002D338D" w:rsidP="002D338D">
      <w:pPr>
        <w:pStyle w:val="NormalWeb"/>
        <w:jc w:val="right"/>
        <w:rPr>
          <w:rFonts w:ascii="Arial" w:hAnsi="Arial" w:cs="Arial"/>
          <w:color w:val="000000"/>
          <w:sz w:val="20"/>
          <w:szCs w:val="20"/>
        </w:rPr>
      </w:pPr>
      <w:r>
        <w:rPr>
          <w:rFonts w:ascii="Arial" w:hAnsi="Arial" w:cs="Arial"/>
          <w:color w:val="000000"/>
          <w:sz w:val="20"/>
          <w:szCs w:val="20"/>
        </w:rPr>
        <w:t>October 11, 2022</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All Asset Reconstruction Companies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Dear Sir/ Madam,</w:t>
      </w:r>
    </w:p>
    <w:p w:rsidR="002D338D" w:rsidRDefault="002D338D" w:rsidP="002D338D">
      <w:pPr>
        <w:pStyle w:val="head"/>
        <w:jc w:val="both"/>
        <w:rPr>
          <w:rFonts w:ascii="Arial" w:hAnsi="Arial" w:cs="Arial"/>
          <w:b/>
          <w:bCs/>
          <w:color w:val="000000"/>
          <w:sz w:val="20"/>
          <w:szCs w:val="20"/>
        </w:rPr>
      </w:pPr>
      <w:r>
        <w:rPr>
          <w:rFonts w:ascii="Arial" w:hAnsi="Arial" w:cs="Arial"/>
          <w:b/>
          <w:bCs/>
          <w:color w:val="000000"/>
          <w:sz w:val="20"/>
          <w:szCs w:val="20"/>
        </w:rPr>
        <w:t>Review of Regulatory Framework for Asset Reconstruction Companies (ARCs)</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ARCs play a vital role in the management of distressed financial assets of banks and financial institutions. Considering their critical role, a need was felt to review their functioning and operating framework. Accordingly, as part of the </w:t>
      </w:r>
      <w:hyperlink r:id="rId6"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released along with the </w:t>
      </w:r>
      <w:hyperlink r:id="rId7" w:tgtFrame="_blank" w:history="1">
        <w:r>
          <w:rPr>
            <w:rStyle w:val="Hyperlink"/>
            <w:rFonts w:ascii="Arial" w:hAnsi="Arial" w:cs="Arial"/>
            <w:sz w:val="20"/>
            <w:szCs w:val="20"/>
          </w:rPr>
          <w:t>Monetary Policy Statement on April 7, 2021</w:t>
        </w:r>
      </w:hyperlink>
      <w:r>
        <w:rPr>
          <w:rFonts w:ascii="Arial" w:hAnsi="Arial" w:cs="Arial"/>
          <w:color w:val="000000"/>
          <w:sz w:val="20"/>
          <w:szCs w:val="20"/>
        </w:rPr>
        <w:t>, the Reserve Bank of India had set up a Committee to undertake a comprehensive review of the working of ARCs and recommend suitable measures for enabling them to function in a more transparent and efficient manner.</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2. Based on the Committee’s recommendations and feedback from the stakeholders, the extant regulatory framework for ARCs has been amended as detailed in the </w:t>
      </w:r>
      <w:hyperlink r:id="rId8" w:anchor="AN1" w:history="1">
        <w:r>
          <w:rPr>
            <w:rStyle w:val="Hyperlink"/>
            <w:rFonts w:ascii="Arial" w:hAnsi="Arial" w:cs="Arial"/>
            <w:sz w:val="20"/>
            <w:szCs w:val="20"/>
          </w:rPr>
          <w:t>Annex</w:t>
        </w:r>
      </w:hyperlink>
      <w:r>
        <w:rPr>
          <w:rFonts w:ascii="Arial" w:hAnsi="Arial" w:cs="Arial"/>
          <w:color w:val="000000"/>
          <w:sz w:val="20"/>
          <w:szCs w:val="20"/>
        </w:rPr>
        <w:t>.</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3. These guidelines shall be effective immediately or as indicated otherwise in the </w:t>
      </w:r>
      <w:hyperlink r:id="rId9" w:anchor="AN1" w:history="1">
        <w:r>
          <w:rPr>
            <w:rStyle w:val="Hyperlink"/>
            <w:rFonts w:ascii="Arial" w:hAnsi="Arial" w:cs="Arial"/>
            <w:sz w:val="20"/>
            <w:szCs w:val="20"/>
          </w:rPr>
          <w:t>Annex</w:t>
        </w:r>
      </w:hyperlink>
      <w:r>
        <w:rPr>
          <w:rFonts w:ascii="Arial" w:hAnsi="Arial" w:cs="Arial"/>
          <w:color w:val="000000"/>
          <w:sz w:val="20"/>
          <w:szCs w:val="20"/>
        </w:rPr>
        <w:t>.</w:t>
      </w:r>
    </w:p>
    <w:p w:rsidR="002D338D" w:rsidRDefault="002D338D" w:rsidP="002D338D">
      <w:pPr>
        <w:pStyle w:val="NormalWeb"/>
        <w:jc w:val="both"/>
        <w:rPr>
          <w:rFonts w:ascii="Arial" w:hAnsi="Arial" w:cs="Arial"/>
          <w:color w:val="000000"/>
          <w:sz w:val="20"/>
          <w:szCs w:val="20"/>
        </w:rPr>
      </w:pPr>
      <w:r>
        <w:rPr>
          <w:rFonts w:ascii="Arial" w:hAnsi="Arial" w:cs="Arial"/>
          <w:color w:val="000000"/>
          <w:sz w:val="20"/>
          <w:szCs w:val="20"/>
        </w:rPr>
        <w:t>Yours faithfully,</w:t>
      </w:r>
    </w:p>
    <w:p w:rsidR="002D338D" w:rsidRDefault="002D338D" w:rsidP="002D338D">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2D338D" w:rsidRDefault="002D338D" w:rsidP="002D338D">
      <w:pPr>
        <w:spacing w:line="259" w:lineRule="auto"/>
        <w:rPr>
          <w:rFonts w:ascii="Arial" w:hAnsi="Arial" w:cs="Arial"/>
          <w:sz w:val="20"/>
          <w:szCs w:val="20"/>
        </w:rPr>
      </w:pPr>
    </w:p>
    <w:p w:rsidR="002D338D" w:rsidRDefault="002D338D" w:rsidP="002D338D">
      <w:pPr>
        <w:spacing w:line="259" w:lineRule="auto"/>
        <w:rPr>
          <w:rFonts w:ascii="Arial" w:hAnsi="Arial" w:cs="Arial"/>
          <w:sz w:val="20"/>
          <w:szCs w:val="20"/>
        </w:rPr>
      </w:pPr>
    </w:p>
    <w:p w:rsidR="002D338D" w:rsidRDefault="002D338D" w:rsidP="002D338D">
      <w:r>
        <w:t>More details can be referred to in the below link.</w:t>
      </w:r>
    </w:p>
    <w:p w:rsidR="002D338D" w:rsidRDefault="002D338D" w:rsidP="002D338D">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0" w:history="1">
        <w:r w:rsidRPr="0062290B">
          <w:rPr>
            <w:rStyle w:val="Hyperlink"/>
            <w:rFonts w:ascii="Arial" w:hAnsi="Arial" w:cs="Arial"/>
            <w:bCs/>
            <w:sz w:val="20"/>
            <w:szCs w:val="20"/>
          </w:rPr>
          <w:t>https://m.rbi.org.in/Scripts/BS_CircularIndexDisplay.aspx?Id=12399</w:t>
        </w:r>
      </w:hyperlink>
    </w:p>
    <w:p w:rsidR="002D338D" w:rsidRDefault="002D338D" w:rsidP="002D338D">
      <w:pPr>
        <w:spacing w:line="259" w:lineRule="auto"/>
        <w:rPr>
          <w:rFonts w:ascii="Arial" w:hAnsi="Arial" w:cs="Arial"/>
          <w:bCs/>
          <w:color w:val="000000"/>
          <w:sz w:val="20"/>
          <w:szCs w:val="20"/>
        </w:rPr>
      </w:pPr>
    </w:p>
    <w:p w:rsidR="001F14D6" w:rsidRDefault="001F14D6">
      <w:pPr>
        <w:spacing w:line="259" w:lineRule="auto"/>
        <w:rPr>
          <w:rFonts w:ascii="Arial" w:hAnsi="Arial" w:cs="Arial"/>
          <w:bCs/>
          <w:color w:val="000000"/>
          <w:sz w:val="20"/>
          <w:szCs w:val="20"/>
        </w:rPr>
      </w:pPr>
      <w:r>
        <w:rPr>
          <w:rFonts w:ascii="Arial" w:hAnsi="Arial" w:cs="Arial"/>
          <w:bCs/>
          <w:color w:val="000000"/>
          <w:sz w:val="20"/>
          <w:szCs w:val="20"/>
        </w:rPr>
        <w:br w:type="page"/>
      </w:r>
    </w:p>
    <w:p w:rsidR="002D338D" w:rsidRDefault="002D338D" w:rsidP="002D338D">
      <w:pPr>
        <w:spacing w:line="259" w:lineRule="auto"/>
        <w:rPr>
          <w:rFonts w:ascii="Arial" w:hAnsi="Arial" w:cs="Arial"/>
          <w:bCs/>
          <w:color w:val="000000"/>
          <w:sz w:val="20"/>
          <w:szCs w:val="20"/>
        </w:rPr>
      </w:pPr>
    </w:p>
    <w:p w:rsidR="001F14D6" w:rsidRDefault="001F14D6" w:rsidP="001F14D6">
      <w:pPr>
        <w:pStyle w:val="NormalWeb"/>
        <w:rPr>
          <w:rFonts w:ascii="Arial" w:hAnsi="Arial" w:cs="Arial"/>
          <w:b/>
          <w:bCs/>
          <w:color w:val="000000"/>
          <w:sz w:val="20"/>
          <w:szCs w:val="20"/>
        </w:rPr>
      </w:pPr>
      <w:r>
        <w:rPr>
          <w:rFonts w:ascii="Arial" w:hAnsi="Arial" w:cs="Arial"/>
          <w:b/>
          <w:bCs/>
          <w:color w:val="000000"/>
          <w:sz w:val="20"/>
          <w:szCs w:val="20"/>
        </w:rPr>
        <w:t>Inclusion of Goods and Service Tax Network (GSTN) as a Financial Information Provider under Account Aggregator Framework</w:t>
      </w:r>
    </w:p>
    <w:p w:rsidR="001F14D6" w:rsidRDefault="001F14D6" w:rsidP="001F14D6">
      <w:pPr>
        <w:pStyle w:val="NormalWeb"/>
        <w:jc w:val="both"/>
        <w:rPr>
          <w:rFonts w:ascii="Arial" w:hAnsi="Arial" w:cs="Arial"/>
          <w:color w:val="000000"/>
          <w:sz w:val="20"/>
          <w:szCs w:val="20"/>
        </w:rPr>
      </w:pPr>
      <w:r>
        <w:rPr>
          <w:rFonts w:ascii="Arial" w:hAnsi="Arial" w:cs="Arial"/>
          <w:color w:val="000000"/>
          <w:sz w:val="20"/>
          <w:szCs w:val="20"/>
        </w:rPr>
        <w:t>RBI/2022-23/140</w:t>
      </w:r>
      <w:r>
        <w:rPr>
          <w:rFonts w:ascii="Arial" w:hAnsi="Arial" w:cs="Arial"/>
          <w:color w:val="000000"/>
          <w:sz w:val="20"/>
          <w:szCs w:val="20"/>
        </w:rPr>
        <w:br/>
        <w:t>DoR.FIN.REC.82/03.10.123/2022-23</w:t>
      </w:r>
    </w:p>
    <w:p w:rsidR="001F14D6" w:rsidRDefault="001F14D6" w:rsidP="001F14D6">
      <w:pPr>
        <w:pStyle w:val="NormalWeb"/>
        <w:jc w:val="right"/>
        <w:rPr>
          <w:rFonts w:ascii="Arial" w:hAnsi="Arial" w:cs="Arial"/>
          <w:color w:val="000000"/>
          <w:sz w:val="20"/>
          <w:szCs w:val="20"/>
        </w:rPr>
      </w:pPr>
      <w:r>
        <w:rPr>
          <w:rFonts w:ascii="Arial" w:hAnsi="Arial" w:cs="Arial"/>
          <w:color w:val="000000"/>
          <w:sz w:val="20"/>
          <w:szCs w:val="20"/>
        </w:rPr>
        <w:t>November 23, 2022</w:t>
      </w:r>
    </w:p>
    <w:p w:rsidR="001F14D6" w:rsidRDefault="001F14D6" w:rsidP="001F14D6">
      <w:pPr>
        <w:pStyle w:val="NormalWeb"/>
        <w:jc w:val="both"/>
        <w:rPr>
          <w:rFonts w:ascii="Arial" w:hAnsi="Arial" w:cs="Arial"/>
          <w:color w:val="000000"/>
          <w:sz w:val="20"/>
          <w:szCs w:val="20"/>
        </w:rPr>
      </w:pPr>
      <w:r>
        <w:rPr>
          <w:rFonts w:ascii="Arial" w:hAnsi="Arial" w:cs="Arial"/>
          <w:color w:val="000000"/>
          <w:sz w:val="20"/>
          <w:szCs w:val="20"/>
        </w:rPr>
        <w:t>To All Regulated Entities of the Bank</w:t>
      </w:r>
    </w:p>
    <w:p w:rsidR="001F14D6" w:rsidRDefault="001F14D6" w:rsidP="001F14D6">
      <w:pPr>
        <w:pStyle w:val="NormalWeb"/>
        <w:jc w:val="both"/>
        <w:rPr>
          <w:rFonts w:ascii="Arial" w:hAnsi="Arial" w:cs="Arial"/>
          <w:color w:val="000000"/>
          <w:sz w:val="20"/>
          <w:szCs w:val="20"/>
        </w:rPr>
      </w:pPr>
      <w:r>
        <w:rPr>
          <w:rFonts w:ascii="Arial" w:hAnsi="Arial" w:cs="Arial"/>
          <w:color w:val="000000"/>
          <w:sz w:val="20"/>
          <w:szCs w:val="20"/>
        </w:rPr>
        <w:t>Madam/Dear Sir,</w:t>
      </w:r>
    </w:p>
    <w:p w:rsidR="001F14D6" w:rsidRDefault="001F14D6" w:rsidP="001F14D6">
      <w:pPr>
        <w:pStyle w:val="head"/>
        <w:jc w:val="both"/>
        <w:rPr>
          <w:rFonts w:ascii="Arial" w:hAnsi="Arial" w:cs="Arial"/>
          <w:b/>
          <w:bCs/>
          <w:color w:val="000000"/>
          <w:sz w:val="20"/>
          <w:szCs w:val="20"/>
        </w:rPr>
      </w:pPr>
      <w:r>
        <w:rPr>
          <w:rFonts w:ascii="Arial" w:hAnsi="Arial" w:cs="Arial"/>
          <w:b/>
          <w:bCs/>
          <w:color w:val="000000"/>
          <w:sz w:val="20"/>
          <w:szCs w:val="20"/>
        </w:rPr>
        <w:t>Inclusion of Goods and Service Tax Network (GSTN) as a Financial Information Provider under Account Aggregator Framework</w:t>
      </w:r>
    </w:p>
    <w:p w:rsidR="001F14D6" w:rsidRDefault="001F14D6" w:rsidP="001F14D6">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1" w:tgtFrame="_blank" w:history="1">
        <w:r>
          <w:rPr>
            <w:rStyle w:val="Hyperlink"/>
            <w:rFonts w:ascii="Arial" w:hAnsi="Arial" w:cs="Arial"/>
            <w:sz w:val="20"/>
            <w:szCs w:val="20"/>
          </w:rPr>
          <w:t>Master Direction – Non-Banking Financial Company - Account Aggregator (Reserve Bank) Directions, 2016 dated September 02, 2016</w:t>
        </w:r>
      </w:hyperlink>
      <w:r>
        <w:rPr>
          <w:rFonts w:ascii="Arial" w:hAnsi="Arial" w:cs="Arial"/>
          <w:color w:val="000000"/>
          <w:sz w:val="20"/>
          <w:szCs w:val="20"/>
        </w:rPr>
        <w:t>.</w:t>
      </w:r>
    </w:p>
    <w:p w:rsidR="001F14D6" w:rsidRDefault="001F14D6" w:rsidP="001F14D6">
      <w:pPr>
        <w:pStyle w:val="NormalWeb"/>
        <w:jc w:val="both"/>
        <w:rPr>
          <w:rFonts w:ascii="Arial" w:hAnsi="Arial" w:cs="Arial"/>
          <w:color w:val="000000"/>
          <w:sz w:val="20"/>
          <w:szCs w:val="20"/>
        </w:rPr>
      </w:pPr>
      <w:r>
        <w:rPr>
          <w:rFonts w:ascii="Arial" w:hAnsi="Arial" w:cs="Arial"/>
          <w:color w:val="000000"/>
          <w:sz w:val="20"/>
          <w:szCs w:val="20"/>
        </w:rPr>
        <w:t>2. With a view to facilitate cash flow-based lending to MSMEs, it has been decided to include Goods and Services Tax Network (GSTN) as a Financial Information Provider (FIP) under the Account Aggregator (AA) framework. Department of Revenue shall be the regulator of GSTN for this specific purpose and Goods and Services Tax (GST) Returns, viz. Form GSTR-1 and Form GSTR-3B, shall be the Financial Information.</w:t>
      </w:r>
    </w:p>
    <w:p w:rsidR="001F14D6" w:rsidRDefault="001F14D6" w:rsidP="001F14D6">
      <w:pPr>
        <w:pStyle w:val="NormalWeb"/>
        <w:jc w:val="both"/>
        <w:rPr>
          <w:rFonts w:ascii="Arial" w:hAnsi="Arial" w:cs="Arial"/>
          <w:color w:val="000000"/>
          <w:sz w:val="20"/>
          <w:szCs w:val="20"/>
        </w:rPr>
      </w:pPr>
      <w:r>
        <w:rPr>
          <w:rFonts w:ascii="Arial" w:hAnsi="Arial" w:cs="Arial"/>
          <w:color w:val="000000"/>
          <w:sz w:val="20"/>
          <w:szCs w:val="20"/>
        </w:rPr>
        <w:t>3. Accordingly, the select instructions contained in the Master Direction referred to above have been amended, as detailed in the </w:t>
      </w:r>
      <w:hyperlink r:id="rId12" w:anchor="AN1" w:history="1">
        <w:r>
          <w:rPr>
            <w:rStyle w:val="Hyperlink"/>
            <w:rFonts w:ascii="Arial" w:hAnsi="Arial" w:cs="Arial"/>
            <w:sz w:val="20"/>
            <w:szCs w:val="20"/>
          </w:rPr>
          <w:t>Annex</w:t>
        </w:r>
      </w:hyperlink>
      <w:r>
        <w:rPr>
          <w:rFonts w:ascii="Arial" w:hAnsi="Arial" w:cs="Arial"/>
          <w:color w:val="000000"/>
          <w:sz w:val="20"/>
          <w:szCs w:val="20"/>
        </w:rPr>
        <w:t>.</w:t>
      </w:r>
    </w:p>
    <w:p w:rsidR="001F14D6" w:rsidRDefault="001F14D6" w:rsidP="001F14D6">
      <w:pPr>
        <w:pStyle w:val="NormalWeb"/>
        <w:jc w:val="both"/>
        <w:rPr>
          <w:rFonts w:ascii="Arial" w:hAnsi="Arial" w:cs="Arial"/>
          <w:color w:val="000000"/>
          <w:sz w:val="20"/>
          <w:szCs w:val="20"/>
        </w:rPr>
      </w:pPr>
      <w:r>
        <w:rPr>
          <w:rFonts w:ascii="Arial" w:hAnsi="Arial" w:cs="Arial"/>
          <w:color w:val="000000"/>
          <w:sz w:val="20"/>
          <w:szCs w:val="20"/>
        </w:rPr>
        <w:t>Yours faithfully,</w:t>
      </w:r>
    </w:p>
    <w:p w:rsidR="001F14D6" w:rsidRDefault="001F14D6" w:rsidP="001F14D6">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1F14D6" w:rsidRDefault="001F14D6" w:rsidP="001F14D6">
      <w:pPr>
        <w:pStyle w:val="NormalWeb"/>
        <w:rPr>
          <w:rFonts w:ascii="Arial" w:hAnsi="Arial" w:cs="Arial"/>
          <w:b/>
          <w:color w:val="000000"/>
          <w:sz w:val="20"/>
          <w:szCs w:val="20"/>
        </w:rPr>
      </w:pPr>
    </w:p>
    <w:p w:rsidR="001F14D6" w:rsidRDefault="001F14D6" w:rsidP="001F14D6"/>
    <w:p w:rsidR="001F14D6" w:rsidRDefault="001F14D6" w:rsidP="001F14D6">
      <w:r>
        <w:t>More details can be referred to in the below link.</w:t>
      </w:r>
    </w:p>
    <w:p w:rsidR="001F14D6" w:rsidRDefault="001F14D6" w:rsidP="001F14D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3" w:history="1">
        <w:r w:rsidRPr="006865D6">
          <w:rPr>
            <w:rStyle w:val="Hyperlink"/>
            <w:rFonts w:ascii="Arial" w:hAnsi="Arial" w:cs="Arial"/>
            <w:bCs/>
            <w:sz w:val="20"/>
            <w:szCs w:val="20"/>
          </w:rPr>
          <w:t>https://www.rbi.org.in/scripts/NotificationUser.aspx?Id=12412&amp;Mode=0</w:t>
        </w:r>
      </w:hyperlink>
    </w:p>
    <w:p w:rsidR="001F14D6" w:rsidRDefault="001F14D6" w:rsidP="001F14D6">
      <w:pPr>
        <w:pStyle w:val="NormalWeb"/>
        <w:rPr>
          <w:rFonts w:ascii="Arial" w:hAnsi="Arial" w:cs="Arial"/>
          <w:bCs/>
          <w:color w:val="000000"/>
          <w:sz w:val="20"/>
          <w:szCs w:val="20"/>
        </w:rPr>
      </w:pPr>
    </w:p>
    <w:p w:rsidR="001F14D6" w:rsidRDefault="001F14D6"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2D338D" w:rsidRDefault="002D338D" w:rsidP="002D338D">
      <w:pPr>
        <w:spacing w:line="259" w:lineRule="auto"/>
        <w:rPr>
          <w:rFonts w:ascii="Arial" w:hAnsi="Arial" w:cs="Arial"/>
          <w:bCs/>
          <w:color w:val="000000"/>
          <w:sz w:val="20"/>
          <w:szCs w:val="20"/>
        </w:rPr>
      </w:pPr>
    </w:p>
    <w:p w:rsidR="00810FE8" w:rsidRDefault="00810FE8" w:rsidP="00810FE8">
      <w:pPr>
        <w:spacing w:line="259" w:lineRule="auto"/>
        <w:rPr>
          <w:rFonts w:ascii="Arial" w:hAnsi="Arial" w:cs="Arial"/>
          <w:sz w:val="20"/>
          <w:szCs w:val="20"/>
        </w:rPr>
      </w:pPr>
    </w:p>
    <w:p w:rsidR="00810FE8" w:rsidRDefault="00810FE8" w:rsidP="00810FE8">
      <w:pPr>
        <w:spacing w:after="0"/>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material items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RBI/2022-23/155</w:t>
      </w:r>
      <w:r>
        <w:rPr>
          <w:rFonts w:ascii="Arial" w:hAnsi="Arial" w:cs="Arial"/>
          <w:color w:val="000000"/>
          <w:sz w:val="20"/>
          <w:szCs w:val="20"/>
        </w:rPr>
        <w:br/>
        <w:t>DOR.ACC.REC.No.91/21.04.018/2022-23</w:t>
      </w:r>
    </w:p>
    <w:p w:rsidR="00810FE8" w:rsidRDefault="00810FE8" w:rsidP="00810FE8">
      <w:pPr>
        <w:pStyle w:val="NormalWeb"/>
        <w:jc w:val="right"/>
        <w:rPr>
          <w:rFonts w:ascii="Arial" w:hAnsi="Arial" w:cs="Arial"/>
          <w:color w:val="000000"/>
          <w:sz w:val="20"/>
          <w:szCs w:val="20"/>
        </w:rPr>
      </w:pPr>
      <w:r>
        <w:rPr>
          <w:rFonts w:ascii="Arial" w:hAnsi="Arial" w:cs="Arial"/>
          <w:color w:val="000000"/>
          <w:sz w:val="20"/>
          <w:szCs w:val="20"/>
        </w:rPr>
        <w:t>December 13, 2022</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Madam/Sir,</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material items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Please refer to the notes and instructions for compilation of Balance Sheet and Profit and Loss Account, for commercial banks, as specified in Annexure II to the </w:t>
      </w:r>
      <w:hyperlink r:id="rId14"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(hereinafter referred to as “Directions”).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2. In terms of Part A of Annexure II to the Directions, in case any item under the subhead “Miscellaneous Income” under the head “Schedule 14-Other Income” exceeds one per cent of total income, particulars shall be given in the notes to accounts. Similar instructions exist in case of subhead “Other expenditure” under the head “Schedule 16-Operating Expenses”.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3. In order to ensure greater transparency, it has been decided that banks shall also disclose the particulars of all such items in the notes to accounts wherever any item under the Schedule 5(IV)-Other Liabilities and Provisions</w:t>
      </w:r>
      <w:proofErr w:type="gramStart"/>
      <w:r>
        <w:rPr>
          <w:rFonts w:ascii="Arial" w:hAnsi="Arial" w:cs="Arial"/>
          <w:color w:val="000000"/>
          <w:sz w:val="20"/>
          <w:szCs w:val="20"/>
        </w:rPr>
        <w:t>-“</w:t>
      </w:r>
      <w:proofErr w:type="gramEnd"/>
      <w:r>
        <w:rPr>
          <w:rFonts w:ascii="Arial" w:hAnsi="Arial" w:cs="Arial"/>
          <w:color w:val="000000"/>
          <w:sz w:val="20"/>
          <w:szCs w:val="20"/>
        </w:rPr>
        <w:t>Others (including provisions)” or Schedule 11(VI)-Other Assets-“Others” exceeds one per cent of the total assets.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4. Further, Payments Banks shall also disclose particulars of all such items in the notes to accounts, wherever any item under the Schedule 14(I)-Other Income</w:t>
      </w:r>
      <w:proofErr w:type="gramStart"/>
      <w:r>
        <w:rPr>
          <w:rFonts w:ascii="Arial" w:hAnsi="Arial" w:cs="Arial"/>
          <w:color w:val="000000"/>
          <w:sz w:val="20"/>
          <w:szCs w:val="20"/>
        </w:rPr>
        <w:t>-“</w:t>
      </w:r>
      <w:proofErr w:type="gramEnd"/>
      <w:r>
        <w:rPr>
          <w:rFonts w:ascii="Arial" w:hAnsi="Arial" w:cs="Arial"/>
          <w:color w:val="000000"/>
          <w:sz w:val="20"/>
          <w:szCs w:val="20"/>
        </w:rPr>
        <w:t>Commission, Exchange and Brokerage” exceeds one per cent of the total income.</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5. We also invite attention to Clause 6 of the Chapter IV of the Directions ibid, in terms of which more comprehensive disclosures than the minimum required are encouraged, especially if such disclosures significantly aid in the understanding of the financial position and performance of banks.</w:t>
      </w:r>
    </w:p>
    <w:p w:rsidR="00810FE8" w:rsidRDefault="00810FE8" w:rsidP="00810FE8">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6. These instructions are applicable to all commercial banks. These instructions shall come into effect for disclosures in the notes to the annual financial statements for the year ending March 31, 2023 and onwards.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7. The </w:t>
      </w:r>
      <w:hyperlink r:id="rId15" w:tgtFrame="_blank" w:history="1">
        <w:r>
          <w:rPr>
            <w:rStyle w:val="Hyperlink"/>
            <w:rFonts w:ascii="Arial" w:hAnsi="Arial" w:cs="Arial"/>
            <w:sz w:val="20"/>
            <w:szCs w:val="20"/>
          </w:rPr>
          <w:t>Reserve Bank of India (Financial Statements - Presentation and Disclosures) Directions, 2021</w:t>
        </w:r>
      </w:hyperlink>
      <w:r>
        <w:rPr>
          <w:rFonts w:ascii="Arial" w:hAnsi="Arial" w:cs="Arial"/>
          <w:color w:val="000000"/>
          <w:sz w:val="20"/>
          <w:szCs w:val="20"/>
        </w:rPr>
        <w:t> shall stand updated to reflect these changes.</w:t>
      </w:r>
    </w:p>
    <w:p w:rsidR="00810FE8" w:rsidRDefault="00810FE8" w:rsidP="00810FE8">
      <w:pPr>
        <w:pStyle w:val="NormalWeb"/>
        <w:jc w:val="both"/>
        <w:rPr>
          <w:rFonts w:ascii="Arial" w:hAnsi="Arial" w:cs="Arial"/>
          <w:color w:val="000000"/>
          <w:sz w:val="20"/>
          <w:szCs w:val="20"/>
        </w:rPr>
      </w:pPr>
      <w:r>
        <w:rPr>
          <w:rFonts w:ascii="Arial" w:hAnsi="Arial" w:cs="Arial"/>
          <w:color w:val="000000"/>
          <w:sz w:val="20"/>
          <w:szCs w:val="20"/>
        </w:rPr>
        <w:t>Yours faithfully,</w:t>
      </w:r>
    </w:p>
    <w:p w:rsidR="00810FE8" w:rsidRDefault="00810FE8" w:rsidP="00810FE8">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810FE8" w:rsidRPr="00230EAC" w:rsidRDefault="00810FE8" w:rsidP="00810FE8">
      <w:pPr>
        <w:spacing w:after="0"/>
      </w:pPr>
    </w:p>
    <w:p w:rsidR="00810FE8" w:rsidRDefault="00810FE8" w:rsidP="00810FE8">
      <w:r>
        <w:t>More details can be referred to in the below link.</w:t>
      </w:r>
    </w:p>
    <w:p w:rsidR="00810FE8" w:rsidRDefault="00810FE8" w:rsidP="00810FE8">
      <w:pPr>
        <w:spacing w:line="259" w:lineRule="auto"/>
        <w:rPr>
          <w:rFonts w:ascii="Arial" w:hAnsi="Arial" w:cs="Arial"/>
          <w:sz w:val="20"/>
          <w:szCs w:val="20"/>
        </w:rPr>
      </w:pPr>
      <w:r>
        <w:rPr>
          <w:rFonts w:ascii="Arial" w:hAnsi="Arial" w:cs="Arial"/>
          <w:bCs/>
          <w:color w:val="000000"/>
          <w:sz w:val="20"/>
          <w:szCs w:val="20"/>
        </w:rPr>
        <w:t xml:space="preserve">Reference Link: </w:t>
      </w:r>
      <w:hyperlink r:id="rId16" w:history="1">
        <w:r w:rsidRPr="00B27270">
          <w:rPr>
            <w:rStyle w:val="Hyperlink"/>
            <w:rFonts w:ascii="Arial" w:hAnsi="Arial" w:cs="Arial"/>
            <w:bCs/>
            <w:sz w:val="20"/>
            <w:szCs w:val="20"/>
          </w:rPr>
          <w:t>https://rbi.org.in/Scripts/NotificationUser.aspx?Id=12426&amp;Mode=0</w:t>
        </w:r>
      </w:hyperlink>
    </w:p>
    <w:p w:rsidR="00810FE8" w:rsidRDefault="00810FE8" w:rsidP="00810FE8">
      <w:pPr>
        <w:spacing w:line="259" w:lineRule="auto"/>
        <w:rPr>
          <w:rFonts w:ascii="Arial" w:hAnsi="Arial" w:cs="Arial"/>
          <w:sz w:val="20"/>
          <w:szCs w:val="20"/>
        </w:rPr>
      </w:pPr>
    </w:p>
    <w:sectPr w:rsidR="00810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AB1"/>
    <w:multiLevelType w:val="multilevel"/>
    <w:tmpl w:val="3684EE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FC2351A"/>
    <w:multiLevelType w:val="multilevel"/>
    <w:tmpl w:val="D39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28"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9"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6A6B539B"/>
    <w:multiLevelType w:val="multilevel"/>
    <w:tmpl w:val="53B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B077D3E"/>
    <w:multiLevelType w:val="multilevel"/>
    <w:tmpl w:val="18D60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7"/>
  </w:num>
  <w:num w:numId="7">
    <w:abstractNumId w:val="22"/>
  </w:num>
  <w:num w:numId="8">
    <w:abstractNumId w:val="2"/>
  </w:num>
  <w:num w:numId="9">
    <w:abstractNumId w:val="1"/>
  </w:num>
  <w:num w:numId="10">
    <w:abstractNumId w:val="16"/>
  </w:num>
  <w:num w:numId="11">
    <w:abstractNumId w:val="14"/>
  </w:num>
  <w:num w:numId="12">
    <w:abstractNumId w:val="3"/>
  </w:num>
  <w:num w:numId="13">
    <w:abstractNumId w:val="13"/>
  </w:num>
  <w:num w:numId="14">
    <w:abstractNumId w:val="21"/>
  </w:num>
  <w:num w:numId="15">
    <w:abstractNumId w:val="29"/>
  </w:num>
  <w:num w:numId="16">
    <w:abstractNumId w:val="5"/>
  </w:num>
  <w:num w:numId="17">
    <w:abstractNumId w:val="18"/>
  </w:num>
  <w:num w:numId="18">
    <w:abstractNumId w:val="12"/>
  </w:num>
  <w:num w:numId="19">
    <w:abstractNumId w:val="11"/>
  </w:num>
  <w:num w:numId="20">
    <w:abstractNumId w:val="17"/>
  </w:num>
  <w:num w:numId="21">
    <w:abstractNumId w:val="10"/>
  </w:num>
  <w:num w:numId="22">
    <w:abstractNumId w:val="26"/>
  </w:num>
  <w:num w:numId="23">
    <w:abstractNumId w:val="8"/>
  </w:num>
  <w:num w:numId="24">
    <w:abstractNumId w:val="15"/>
  </w:num>
  <w:num w:numId="25">
    <w:abstractNumId w:val="7"/>
  </w:num>
  <w:num w:numId="26">
    <w:abstractNumId w:val="23"/>
  </w:num>
  <w:num w:numId="27">
    <w:abstractNumId w:val="6"/>
  </w:num>
  <w:num w:numId="28">
    <w:abstractNumId w:val="20"/>
  </w:num>
  <w:num w:numId="29">
    <w:abstractNumId w:val="9"/>
  </w:num>
  <w:num w:numId="30">
    <w:abstractNumId w:val="0"/>
  </w:num>
  <w:num w:numId="31">
    <w:abstractNumId w:val="32"/>
  </w:num>
  <w:num w:numId="32">
    <w:abstractNumId w:val="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F6CB6"/>
    <w:rsid w:val="00121B22"/>
    <w:rsid w:val="0014376A"/>
    <w:rsid w:val="00147837"/>
    <w:rsid w:val="00166E3C"/>
    <w:rsid w:val="001B0D06"/>
    <w:rsid w:val="001E7AD4"/>
    <w:rsid w:val="001F14D6"/>
    <w:rsid w:val="001F219E"/>
    <w:rsid w:val="002313C4"/>
    <w:rsid w:val="00245B30"/>
    <w:rsid w:val="002A3764"/>
    <w:rsid w:val="002C55B6"/>
    <w:rsid w:val="002D338D"/>
    <w:rsid w:val="00355D74"/>
    <w:rsid w:val="00435B25"/>
    <w:rsid w:val="00436D36"/>
    <w:rsid w:val="0045114B"/>
    <w:rsid w:val="004D6B44"/>
    <w:rsid w:val="004E718A"/>
    <w:rsid w:val="00581BDE"/>
    <w:rsid w:val="00583041"/>
    <w:rsid w:val="005A38FC"/>
    <w:rsid w:val="005D5DB2"/>
    <w:rsid w:val="00645D84"/>
    <w:rsid w:val="0068363E"/>
    <w:rsid w:val="006C5648"/>
    <w:rsid w:val="00706A14"/>
    <w:rsid w:val="00744532"/>
    <w:rsid w:val="00810FE8"/>
    <w:rsid w:val="008462A3"/>
    <w:rsid w:val="0085415B"/>
    <w:rsid w:val="00912551"/>
    <w:rsid w:val="009126BF"/>
    <w:rsid w:val="009A3EA3"/>
    <w:rsid w:val="009B54D0"/>
    <w:rsid w:val="009F305B"/>
    <w:rsid w:val="00A32EAB"/>
    <w:rsid w:val="00A410BB"/>
    <w:rsid w:val="00A76041"/>
    <w:rsid w:val="00B1420D"/>
    <w:rsid w:val="00B46998"/>
    <w:rsid w:val="00B71788"/>
    <w:rsid w:val="00BF2165"/>
    <w:rsid w:val="00C10ACA"/>
    <w:rsid w:val="00C754F7"/>
    <w:rsid w:val="00C8671B"/>
    <w:rsid w:val="00C93B49"/>
    <w:rsid w:val="00CE14AF"/>
    <w:rsid w:val="00CF0868"/>
    <w:rsid w:val="00CF340B"/>
    <w:rsid w:val="00DB76CD"/>
    <w:rsid w:val="00DE227F"/>
    <w:rsid w:val="00DE6119"/>
    <w:rsid w:val="00E0459A"/>
    <w:rsid w:val="00EC5CE1"/>
    <w:rsid w:val="00EC7DEE"/>
    <w:rsid w:val="00F606CE"/>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A5D0"/>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59540153">
      <w:bodyDiv w:val="1"/>
      <w:marLeft w:val="0"/>
      <w:marRight w:val="0"/>
      <w:marTop w:val="0"/>
      <w:marBottom w:val="0"/>
      <w:divBdr>
        <w:top w:val="none" w:sz="0" w:space="0" w:color="auto"/>
        <w:left w:val="none" w:sz="0" w:space="0" w:color="auto"/>
        <w:bottom w:val="none" w:sz="0" w:space="0" w:color="auto"/>
        <w:right w:val="none" w:sz="0" w:space="0" w:color="auto"/>
      </w:divBdr>
    </w:div>
    <w:div w:id="159807978">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4021">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175459043">
      <w:bodyDiv w:val="1"/>
      <w:marLeft w:val="0"/>
      <w:marRight w:val="0"/>
      <w:marTop w:val="0"/>
      <w:marBottom w:val="0"/>
      <w:divBdr>
        <w:top w:val="none" w:sz="0" w:space="0" w:color="auto"/>
        <w:left w:val="none" w:sz="0" w:space="0" w:color="auto"/>
        <w:bottom w:val="none" w:sz="0" w:space="0" w:color="auto"/>
        <w:right w:val="none" w:sz="0" w:space="0" w:color="auto"/>
      </w:divBdr>
    </w:div>
    <w:div w:id="194656570">
      <w:bodyDiv w:val="1"/>
      <w:marLeft w:val="0"/>
      <w:marRight w:val="0"/>
      <w:marTop w:val="0"/>
      <w:marBottom w:val="0"/>
      <w:divBdr>
        <w:top w:val="none" w:sz="0" w:space="0" w:color="auto"/>
        <w:left w:val="none" w:sz="0" w:space="0" w:color="auto"/>
        <w:bottom w:val="none" w:sz="0" w:space="0" w:color="auto"/>
        <w:right w:val="none" w:sz="0" w:space="0" w:color="auto"/>
      </w:divBdr>
    </w:div>
    <w:div w:id="211501737">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14586553">
      <w:bodyDiv w:val="1"/>
      <w:marLeft w:val="0"/>
      <w:marRight w:val="0"/>
      <w:marTop w:val="0"/>
      <w:marBottom w:val="0"/>
      <w:divBdr>
        <w:top w:val="none" w:sz="0" w:space="0" w:color="auto"/>
        <w:left w:val="none" w:sz="0" w:space="0" w:color="auto"/>
        <w:bottom w:val="none" w:sz="0" w:space="0" w:color="auto"/>
        <w:right w:val="none" w:sz="0" w:space="0" w:color="auto"/>
      </w:divBdr>
    </w:div>
    <w:div w:id="216867827">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668761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397286105">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1577190">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4590311">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604924164">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54203680">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2362212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78971806">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8554958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151681494">
      <w:bodyDiv w:val="1"/>
      <w:marLeft w:val="0"/>
      <w:marRight w:val="0"/>
      <w:marTop w:val="0"/>
      <w:marBottom w:val="0"/>
      <w:divBdr>
        <w:top w:val="none" w:sz="0" w:space="0" w:color="auto"/>
        <w:left w:val="none" w:sz="0" w:space="0" w:color="auto"/>
        <w:bottom w:val="none" w:sz="0" w:space="0" w:color="auto"/>
        <w:right w:val="none" w:sz="0" w:space="0" w:color="auto"/>
      </w:divBdr>
    </w:div>
    <w:div w:id="1180007348">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69193071">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27394148">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3172583">
      <w:bodyDiv w:val="1"/>
      <w:marLeft w:val="0"/>
      <w:marRight w:val="0"/>
      <w:marTop w:val="0"/>
      <w:marBottom w:val="0"/>
      <w:divBdr>
        <w:top w:val="none" w:sz="0" w:space="0" w:color="auto"/>
        <w:left w:val="none" w:sz="0" w:space="0" w:color="auto"/>
        <w:bottom w:val="none" w:sz="0" w:space="0" w:color="auto"/>
        <w:right w:val="none" w:sz="0" w:space="0" w:color="auto"/>
      </w:divBdr>
    </w:div>
    <w:div w:id="136552170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17690000">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564751245">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2222878">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31270718">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83988048">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1990665422">
      <w:bodyDiv w:val="1"/>
      <w:marLeft w:val="0"/>
      <w:marRight w:val="0"/>
      <w:marTop w:val="0"/>
      <w:marBottom w:val="0"/>
      <w:divBdr>
        <w:top w:val="none" w:sz="0" w:space="0" w:color="auto"/>
        <w:left w:val="none" w:sz="0" w:space="0" w:color="auto"/>
        <w:bottom w:val="none" w:sz="0" w:space="0" w:color="auto"/>
        <w:right w:val="none" w:sz="0" w:space="0" w:color="auto"/>
      </w:divBdr>
    </w:div>
    <w:div w:id="1992712213">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86144684">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 w:id="2116434808">
      <w:bodyDiv w:val="1"/>
      <w:marLeft w:val="0"/>
      <w:marRight w:val="0"/>
      <w:marTop w:val="0"/>
      <w:marBottom w:val="0"/>
      <w:divBdr>
        <w:top w:val="none" w:sz="0" w:space="0" w:color="auto"/>
        <w:left w:val="none" w:sz="0" w:space="0" w:color="auto"/>
        <w:bottom w:val="none" w:sz="0" w:space="0" w:color="auto"/>
        <w:right w:val="none" w:sz="0" w:space="0" w:color="auto"/>
      </w:divBdr>
    </w:div>
    <w:div w:id="21439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bi.org.in/Scripts/BS_CircularIndexDisplay.aspx?Id=12399" TargetMode="External"/><Relationship Id="rId13" Type="http://schemas.openxmlformats.org/officeDocument/2006/relationships/hyperlink" Target="https://www.rbi.org.in/scripts/NotificationUser.aspx?Id=12412&amp;Mode=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rbi.org.in/Scripts/BS_PressReleaseDisplay.aspx?prid=51381" TargetMode="External"/><Relationship Id="rId12" Type="http://schemas.openxmlformats.org/officeDocument/2006/relationships/hyperlink" Target="https://www.rbi.org.in/scripts/NotificationUser.aspx?Id=12412&amp;Mode=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bi.org.in/Scripts/NotificationUser.aspx?Id=12426&amp;Mode=0" TargetMode="External"/><Relationship Id="rId1" Type="http://schemas.openxmlformats.org/officeDocument/2006/relationships/customXml" Target="../customXml/item1.xml"/><Relationship Id="rId6" Type="http://schemas.openxmlformats.org/officeDocument/2006/relationships/hyperlink" Target="https://m.rbi.org.in/Scripts/BS_PressReleaseDisplay.aspx?prid=51382" TargetMode="External"/><Relationship Id="rId11" Type="http://schemas.openxmlformats.org/officeDocument/2006/relationships/hyperlink" Target="https://www.rbi.org.in/Scripts/BS_ViewMasDirections.aspx?id=10598" TargetMode="External"/><Relationship Id="rId5" Type="http://schemas.openxmlformats.org/officeDocument/2006/relationships/webSettings" Target="webSettings.xml"/><Relationship Id="rId15" Type="http://schemas.openxmlformats.org/officeDocument/2006/relationships/hyperlink" Target="https://rbi.org.in/Scripts/BS_ViewMasDirections.aspx?id=12158" TargetMode="External"/><Relationship Id="rId10" Type="http://schemas.openxmlformats.org/officeDocument/2006/relationships/hyperlink" Target="https://m.rbi.org.in/Scripts/BS_CircularIndexDisplay.aspx?Id=12399" TargetMode="External"/><Relationship Id="rId4" Type="http://schemas.openxmlformats.org/officeDocument/2006/relationships/settings" Target="settings.xml"/><Relationship Id="rId9" Type="http://schemas.openxmlformats.org/officeDocument/2006/relationships/hyperlink" Target="https://m.rbi.org.in/Scripts/BS_CircularIndexDisplay.aspx?Id=12399" TargetMode="External"/><Relationship Id="rId14" Type="http://schemas.openxmlformats.org/officeDocument/2006/relationships/hyperlink" Target="https://rbi.org.in/Scripts/BS_ViewMasDirections.aspx?id=12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31388-F063-4070-AA72-673C8363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soumya P</cp:lastModifiedBy>
  <cp:revision>2</cp:revision>
  <dcterms:created xsi:type="dcterms:W3CDTF">2023-03-01T05:04:00Z</dcterms:created>
  <dcterms:modified xsi:type="dcterms:W3CDTF">2023-03-01T05:04:00Z</dcterms:modified>
</cp:coreProperties>
</file>